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922" w:rsidRDefault="00236B9D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DGU Berlin 10/2012</w:t>
      </w:r>
    </w:p>
    <w:p w:rsidR="00740922" w:rsidRDefault="00740922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Titel: Telemetrische Messung der Knochenheilung mit instrumentierten Implantaten -</w:t>
      </w:r>
      <w:r w:rsidRPr="00922748"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Vergleich mit CT-Untersuchungen.</w:t>
      </w:r>
    </w:p>
    <w:p w:rsidR="00740922" w:rsidRDefault="00236B9D" w:rsidP="00DA1AD6">
      <w:r>
        <w:t xml:space="preserve">Majed </w:t>
      </w:r>
      <w:bookmarkStart w:id="0" w:name="_GoBack"/>
      <w:bookmarkEnd w:id="0"/>
      <w:proofErr w:type="spellStart"/>
      <w:r w:rsidR="00740922">
        <w:t>Aljudaibi</w:t>
      </w:r>
      <w:proofErr w:type="spellEnd"/>
      <w:r w:rsidR="00740922">
        <w:t xml:space="preserve"> , Seide, Kowald,</w:t>
      </w:r>
      <w:r w:rsidR="00740922" w:rsidRPr="008A17CD">
        <w:t xml:space="preserve"> </w:t>
      </w:r>
      <w:r w:rsidR="00740922">
        <w:t>Karakaya , Weinrich, Jürgens,</w:t>
      </w:r>
      <w:r w:rsidR="00740922" w:rsidRPr="00274CD2">
        <w:t xml:space="preserve"> </w:t>
      </w:r>
      <w:proofErr w:type="spellStart"/>
      <w:r w:rsidR="00740922">
        <w:t>Faschingbauer</w:t>
      </w:r>
      <w:proofErr w:type="spellEnd"/>
    </w:p>
    <w:p w:rsidR="00740922" w:rsidRDefault="00740922" w:rsidP="00DA1AD6">
      <w:r>
        <w:t>Berufsgenossenschaftliches Unfallkrankenhaus Hamburg</w:t>
      </w:r>
    </w:p>
    <w:p w:rsidR="00740922" w:rsidRDefault="00740922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Fragestellung</w:t>
      </w:r>
    </w:p>
    <w:p w:rsidR="00740922" w:rsidRDefault="00740922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Die Beurteilung der Knochenheilung erfolgt regelhaft nativradiologisch. Nicht selten, z.B. bei unregelmäßigem </w:t>
      </w:r>
      <w:proofErr w:type="spellStart"/>
      <w:r>
        <w:rPr>
          <w:rFonts w:ascii="Arial" w:hAnsi="Arial"/>
          <w:sz w:val="28"/>
          <w:szCs w:val="28"/>
        </w:rPr>
        <w:t>Pseurathrosenspalt</w:t>
      </w:r>
      <w:proofErr w:type="spellEnd"/>
      <w:r>
        <w:rPr>
          <w:rFonts w:ascii="Arial" w:hAnsi="Arial"/>
          <w:sz w:val="28"/>
          <w:szCs w:val="28"/>
        </w:rPr>
        <w:t xml:space="preserve">, ist eine Computertomografie (CT) als „Gold Standard“ erforderlich. Unter Verwendung moderner Mikroelektronik wurde ein instrumentierter Fixateur interne entwickelt, bei welchem sich telemetrisch </w:t>
      </w:r>
      <w:proofErr w:type="spellStart"/>
      <w:r>
        <w:rPr>
          <w:rFonts w:ascii="Arial" w:hAnsi="Arial"/>
          <w:sz w:val="28"/>
          <w:szCs w:val="28"/>
        </w:rPr>
        <w:t>transcutan</w:t>
      </w:r>
      <w:proofErr w:type="spellEnd"/>
      <w:r>
        <w:rPr>
          <w:rFonts w:ascii="Arial" w:hAnsi="Arial"/>
          <w:sz w:val="28"/>
          <w:szCs w:val="28"/>
        </w:rPr>
        <w:t xml:space="preserve"> die Biegebelastung des Implantates als Korrelat der Abnahme der Elastizität im heilenden Knochen bestimmen lässt. Es wurde die Hypothese untersucht, dass mit den telemetrischen Messungen, im CT zu diagnostizierende </w:t>
      </w:r>
      <w:proofErr w:type="spellStart"/>
      <w:r>
        <w:rPr>
          <w:rFonts w:ascii="Arial" w:hAnsi="Arial"/>
          <w:sz w:val="28"/>
          <w:szCs w:val="28"/>
        </w:rPr>
        <w:t>Heilungstadien</w:t>
      </w:r>
      <w:proofErr w:type="spellEnd"/>
      <w:r>
        <w:rPr>
          <w:rFonts w:ascii="Arial" w:hAnsi="Arial"/>
          <w:sz w:val="28"/>
          <w:szCs w:val="28"/>
        </w:rPr>
        <w:t xml:space="preserve"> unterschieden werden können.</w:t>
      </w:r>
    </w:p>
    <w:p w:rsidR="00740922" w:rsidRDefault="00740922">
      <w:pPr>
        <w:rPr>
          <w:rFonts w:ascii="Arial" w:hAnsi="Arial"/>
          <w:sz w:val="28"/>
          <w:szCs w:val="28"/>
        </w:rPr>
      </w:pPr>
    </w:p>
    <w:p w:rsidR="00740922" w:rsidRDefault="00740922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Methode</w:t>
      </w:r>
    </w:p>
    <w:p w:rsidR="00740922" w:rsidRDefault="00740922">
      <w:pPr>
        <w:rPr>
          <w:rFonts w:ascii="Arial" w:hAnsi="Arial"/>
          <w:sz w:val="28"/>
          <w:szCs w:val="28"/>
        </w:rPr>
      </w:pPr>
      <w:proofErr w:type="spellStart"/>
      <w:r w:rsidRPr="000566B9">
        <w:rPr>
          <w:rFonts w:ascii="Arial" w:hAnsi="Arial"/>
          <w:sz w:val="28"/>
          <w:szCs w:val="28"/>
        </w:rPr>
        <w:t>Femur</w:t>
      </w:r>
      <w:proofErr w:type="spellEnd"/>
      <w:r w:rsidRPr="000566B9">
        <w:rPr>
          <w:rFonts w:ascii="Arial" w:hAnsi="Arial"/>
          <w:sz w:val="28"/>
          <w:szCs w:val="28"/>
        </w:rPr>
        <w:t>-Fixateur interne-Systeme (</w:t>
      </w:r>
      <w:proofErr w:type="spellStart"/>
      <w:r w:rsidRPr="000566B9">
        <w:rPr>
          <w:rFonts w:ascii="Arial" w:hAnsi="Arial"/>
          <w:sz w:val="28"/>
          <w:szCs w:val="28"/>
        </w:rPr>
        <w:t>Tifix</w:t>
      </w:r>
      <w:proofErr w:type="spellEnd"/>
      <w:r w:rsidRPr="000566B9">
        <w:rPr>
          <w:rFonts w:ascii="Arial" w:hAnsi="Arial"/>
          <w:sz w:val="28"/>
          <w:szCs w:val="28"/>
        </w:rPr>
        <w:t>®) wurden mit Dehnungsmessstreifen und einer mikrocontrollerbasierten Miniatur-</w:t>
      </w:r>
      <w:proofErr w:type="spellStart"/>
      <w:r w:rsidRPr="000566B9">
        <w:rPr>
          <w:rFonts w:ascii="Arial" w:hAnsi="Arial"/>
          <w:sz w:val="28"/>
          <w:szCs w:val="28"/>
        </w:rPr>
        <w:t>Telemetrieelektronik</w:t>
      </w:r>
      <w:proofErr w:type="spellEnd"/>
      <w:r w:rsidRPr="000566B9">
        <w:rPr>
          <w:rFonts w:ascii="Arial" w:hAnsi="Arial"/>
          <w:sz w:val="28"/>
          <w:szCs w:val="28"/>
        </w:rPr>
        <w:t xml:space="preserve"> instrumentiert. Ein portables Lesegerät ermöglichte das drahtlose </w:t>
      </w:r>
      <w:proofErr w:type="spellStart"/>
      <w:r>
        <w:rPr>
          <w:rFonts w:ascii="Arial" w:hAnsi="Arial"/>
          <w:sz w:val="28"/>
          <w:szCs w:val="28"/>
        </w:rPr>
        <w:t>transcutane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r w:rsidRPr="000566B9">
        <w:rPr>
          <w:rFonts w:ascii="Arial" w:hAnsi="Arial"/>
          <w:sz w:val="28"/>
          <w:szCs w:val="28"/>
        </w:rPr>
        <w:t>Auslesen des Implantates</w:t>
      </w:r>
      <w:r>
        <w:rPr>
          <w:rFonts w:ascii="Arial" w:hAnsi="Arial"/>
          <w:sz w:val="28"/>
          <w:szCs w:val="28"/>
        </w:rPr>
        <w:t xml:space="preserve"> mit einer Reichweite von 8 cm sowie die Registrierung auf einem PC. Messungen erfolgten in Abständen von 2 Wochen. Bei 27 Patienten mit </w:t>
      </w:r>
      <w:proofErr w:type="spellStart"/>
      <w:r>
        <w:rPr>
          <w:rFonts w:ascii="Arial" w:hAnsi="Arial"/>
          <w:sz w:val="28"/>
          <w:szCs w:val="28"/>
        </w:rPr>
        <w:t>Femurschaft-Pseudarthrosen</w:t>
      </w:r>
      <w:proofErr w:type="spellEnd"/>
      <w:r>
        <w:rPr>
          <w:rFonts w:ascii="Arial" w:hAnsi="Arial"/>
          <w:sz w:val="28"/>
          <w:szCs w:val="28"/>
        </w:rPr>
        <w:t xml:space="preserve"> erfolgte zusätzlich nach 12 Wochen eine CT – Untersuchung mit Klassifizierung des Befundes.</w:t>
      </w:r>
    </w:p>
    <w:p w:rsidR="00740922" w:rsidRDefault="00740922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Ergebnisse</w:t>
      </w:r>
    </w:p>
    <w:p w:rsidR="00740922" w:rsidRPr="002F61E3" w:rsidRDefault="00740922" w:rsidP="00DA1AD6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Alle </w:t>
      </w:r>
      <w:proofErr w:type="spellStart"/>
      <w:r>
        <w:rPr>
          <w:rFonts w:ascii="Arial" w:hAnsi="Arial"/>
          <w:sz w:val="28"/>
          <w:szCs w:val="28"/>
        </w:rPr>
        <w:t>Pseudarthrosen</w:t>
      </w:r>
      <w:proofErr w:type="spellEnd"/>
      <w:r>
        <w:rPr>
          <w:rFonts w:ascii="Arial" w:hAnsi="Arial"/>
          <w:sz w:val="28"/>
          <w:szCs w:val="28"/>
        </w:rPr>
        <w:t xml:space="preserve"> konsolidierten, im Median nach 21 Wochen (Minimum 12 Wochen – Maximum 37 Wochen). Besonders interessant war, dass bereits deutlich vor einer röntgenologisch darstellbaren </w:t>
      </w:r>
      <w:proofErr w:type="spellStart"/>
      <w:r>
        <w:rPr>
          <w:rFonts w:ascii="Arial" w:hAnsi="Arial"/>
          <w:sz w:val="28"/>
          <w:szCs w:val="28"/>
        </w:rPr>
        <w:t>Kalzifizierung</w:t>
      </w:r>
      <w:proofErr w:type="spellEnd"/>
      <w:r>
        <w:rPr>
          <w:rFonts w:ascii="Arial" w:hAnsi="Arial"/>
          <w:sz w:val="28"/>
          <w:szCs w:val="28"/>
        </w:rPr>
        <w:t xml:space="preserve"> die Elastizität im heilenden Knochen deutlich abnahm. Die gemessene Elastizität verringerte sich im Median auf 50% nach 7 Wochen (3,5Wochen -13Wochen), auf 30% (0%-56%) nach 12 Wochen und 10% nach 19 Wochen (14,5Wochen – 37 Wochen). Die Messwerte </w:t>
      </w:r>
      <w:r>
        <w:rPr>
          <w:rFonts w:ascii="Arial" w:hAnsi="Arial"/>
          <w:sz w:val="28"/>
          <w:szCs w:val="28"/>
        </w:rPr>
        <w:lastRenderedPageBreak/>
        <w:t xml:space="preserve">unterschieden sich signifikant zwischen den CT Heilungsstadien (Kruskal-Wallis </w:t>
      </w:r>
      <w:proofErr w:type="spellStart"/>
      <w:r>
        <w:rPr>
          <w:rFonts w:ascii="Arial" w:hAnsi="Arial"/>
          <w:sz w:val="28"/>
          <w:szCs w:val="28"/>
        </w:rPr>
        <w:t>test</w:t>
      </w:r>
      <w:proofErr w:type="spellEnd"/>
      <w:r>
        <w:rPr>
          <w:rFonts w:ascii="Arial" w:hAnsi="Arial"/>
          <w:sz w:val="28"/>
          <w:szCs w:val="28"/>
        </w:rPr>
        <w:t>, p=0,0065).</w:t>
      </w:r>
    </w:p>
    <w:p w:rsidR="00740922" w:rsidRPr="00FC3AD6" w:rsidRDefault="00740922" w:rsidP="00DA1AD6">
      <w:pPr>
        <w:rPr>
          <w:rFonts w:ascii="Arial" w:hAnsi="Arial"/>
          <w:sz w:val="28"/>
          <w:szCs w:val="28"/>
        </w:rPr>
      </w:pPr>
      <w:r w:rsidRPr="00FC3AD6">
        <w:rPr>
          <w:rFonts w:ascii="Arial" w:hAnsi="Arial"/>
          <w:sz w:val="28"/>
          <w:szCs w:val="28"/>
        </w:rPr>
        <w:t>Schlussfolgerung</w:t>
      </w:r>
    </w:p>
    <w:p w:rsidR="00740922" w:rsidRPr="00FC3AD6" w:rsidRDefault="00740922" w:rsidP="00DA1AD6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Es wurde statistisch betätigt, dass telemetrisch-m</w:t>
      </w:r>
      <w:r w:rsidRPr="00FC3AD6">
        <w:rPr>
          <w:rFonts w:ascii="Arial" w:hAnsi="Arial"/>
          <w:sz w:val="28"/>
          <w:szCs w:val="28"/>
        </w:rPr>
        <w:t>echanische Messungen mit instrumentierte</w:t>
      </w:r>
      <w:r>
        <w:rPr>
          <w:rFonts w:ascii="Arial" w:hAnsi="Arial"/>
          <w:sz w:val="28"/>
          <w:szCs w:val="28"/>
        </w:rPr>
        <w:t>n</w:t>
      </w:r>
      <w:r w:rsidRPr="00FC3AD6">
        <w:rPr>
          <w:rFonts w:ascii="Arial" w:hAnsi="Arial"/>
          <w:sz w:val="28"/>
          <w:szCs w:val="28"/>
        </w:rPr>
        <w:t xml:space="preserve"> Implantate</w:t>
      </w:r>
      <w:r>
        <w:rPr>
          <w:rFonts w:ascii="Arial" w:hAnsi="Arial"/>
          <w:sz w:val="28"/>
          <w:szCs w:val="28"/>
        </w:rPr>
        <w:t>n ein Monitoring der Knochenheilung</w:t>
      </w:r>
      <w:r w:rsidRPr="00EB5DEA"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 xml:space="preserve">ermöglichen, wobei dieses kontinuierlich und unter Vermeidung einer Strahlenbelastung erfolgen kann. </w:t>
      </w:r>
    </w:p>
    <w:sectPr w:rsidR="00740922" w:rsidRPr="00FC3AD6" w:rsidSect="00F1563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C6A93"/>
    <w:multiLevelType w:val="hybridMultilevel"/>
    <w:tmpl w:val="D02A8F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B12D4E"/>
    <w:multiLevelType w:val="hybridMultilevel"/>
    <w:tmpl w:val="7366B3F8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411B"/>
    <w:rsid w:val="000566B9"/>
    <w:rsid w:val="001435A2"/>
    <w:rsid w:val="00227432"/>
    <w:rsid w:val="00236B9D"/>
    <w:rsid w:val="00274CD2"/>
    <w:rsid w:val="002F61E3"/>
    <w:rsid w:val="003E0314"/>
    <w:rsid w:val="00416074"/>
    <w:rsid w:val="004174F3"/>
    <w:rsid w:val="004833B3"/>
    <w:rsid w:val="004A327E"/>
    <w:rsid w:val="00587360"/>
    <w:rsid w:val="005E1894"/>
    <w:rsid w:val="00663D9F"/>
    <w:rsid w:val="006B7DF1"/>
    <w:rsid w:val="00740922"/>
    <w:rsid w:val="00823DBF"/>
    <w:rsid w:val="008A17CD"/>
    <w:rsid w:val="008F411B"/>
    <w:rsid w:val="00922748"/>
    <w:rsid w:val="009D4045"/>
    <w:rsid w:val="00A6539C"/>
    <w:rsid w:val="00A87E7B"/>
    <w:rsid w:val="00BB2A7B"/>
    <w:rsid w:val="00CA7DFE"/>
    <w:rsid w:val="00CD6E84"/>
    <w:rsid w:val="00DA1AD6"/>
    <w:rsid w:val="00EB5DEA"/>
    <w:rsid w:val="00F1563E"/>
    <w:rsid w:val="00FC3AD6"/>
    <w:rsid w:val="00FF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1563E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99"/>
    <w:qFormat/>
    <w:rsid w:val="004833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1895</Characters>
  <Application>Microsoft Office Word</Application>
  <DocSecurity>0</DocSecurity>
  <Lines>15</Lines>
  <Paragraphs>4</Paragraphs>
  <ScaleCrop>false</ScaleCrop>
  <Company/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Titel: Telemetrische Messung der Knochenheilung mit instrumentierten Implantaten - Vergleich mit CT-Untersuchungen</dc:title>
  <dc:subject/>
  <dc:creator>majed</dc:creator>
  <cp:keywords/>
  <dc:description/>
  <cp:lastModifiedBy>majed pc</cp:lastModifiedBy>
  <cp:revision>3</cp:revision>
  <cp:lastPrinted>2012-01-12T13:19:00Z</cp:lastPrinted>
  <dcterms:created xsi:type="dcterms:W3CDTF">2012-01-12T14:11:00Z</dcterms:created>
  <dcterms:modified xsi:type="dcterms:W3CDTF">2013-02-11T08:51:00Z</dcterms:modified>
</cp:coreProperties>
</file>